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pStyle w:val="Style_3"/>
        <w:spacing w:after="0" w:before="0"/>
        <w:ind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Программа санаторно-курортного лечения по путевке «БАЗОВАЯ»</w:t>
      </w:r>
    </w:p>
    <w:p w14:paraId="07000000">
      <w:pPr>
        <w:rPr>
          <w:sz w:val="24"/>
        </w:rPr>
      </w:pPr>
      <w:r>
        <w:rPr>
          <w:b w:val="1"/>
          <w:color w:val="000000"/>
          <w:sz w:val="24"/>
          <w:highlight w:val="white"/>
        </w:rPr>
        <w:t>Стандарт санаторно-курортного лечения по путевке «БАЗОВАЯ» регламентирует назначение лечебно-диагностических мероприятий в отношении гостей с болезнями пищевода, желудка и двенадцатиперстной кишки, кишечника, а также с болезнями печени, желчного пузыря, желчевыводящих путей и поджелудочной железы.</w:t>
      </w:r>
      <w:r>
        <w:rPr>
          <w:color w:val="000000"/>
          <w:sz w:val="24"/>
        </w:rPr>
        <w:br/>
      </w:r>
      <w:r>
        <w:rPr>
          <w:color w:val="000000"/>
          <w:sz w:val="24"/>
          <w:highlight w:val="white"/>
        </w:rPr>
        <w:t xml:space="preserve">Стандарт лечебно- диагностических мероприятий по </w:t>
      </w:r>
      <w:r>
        <w:rPr>
          <w:color w:val="000000"/>
          <w:sz w:val="24"/>
          <w:highlight w:val="white"/>
        </w:rPr>
        <w:t>санаторно</w:t>
      </w:r>
      <w:r>
        <w:rPr>
          <w:color w:val="000000"/>
          <w:sz w:val="24"/>
          <w:highlight w:val="white"/>
        </w:rPr>
        <w:t>- курортной</w:t>
      </w:r>
      <w:r>
        <w:rPr>
          <w:color w:val="000000"/>
          <w:sz w:val="24"/>
          <w:highlight w:val="white"/>
        </w:rPr>
        <w:t xml:space="preserve"> путевке «БАЗОВАЯ» разработан на основании Приказов </w:t>
      </w:r>
      <w:r>
        <w:rPr>
          <w:color w:val="000000"/>
          <w:sz w:val="24"/>
          <w:highlight w:val="white"/>
        </w:rPr>
        <w:t>Минздравсоцразвития</w:t>
      </w:r>
      <w:r>
        <w:rPr>
          <w:color w:val="000000"/>
          <w:sz w:val="24"/>
          <w:highlight w:val="white"/>
        </w:rPr>
        <w:t xml:space="preserve"> РФ № 277 от 23.11.2004 г. «Об утверждении стандарта санаторно-курортной помощи больным с болезнями печени, желчного пузыря, желчевыводящих путей и поджелудочной железы» и № 278 от 23 ноября 2004 года «Об утверждении стандарта санаторно-курортной помощи больных с заболеваниями пищевода, желудка и двенадцатиперстной кишки, кишечника».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  <w:highlight w:val="white"/>
        </w:rPr>
        <w:t>Неукоснительным требованием для применения данного стандарта является соблюдение следующих условий (модель пациента):</w:t>
      </w:r>
      <w:r>
        <w:rPr>
          <w:color w:val="000000"/>
          <w:sz w:val="24"/>
        </w:rPr>
        <w:br/>
      </w:r>
      <w:r>
        <w:rPr>
          <w:b w:val="1"/>
          <w:color w:val="000000"/>
          <w:sz w:val="24"/>
          <w:highlight w:val="white"/>
          <w:u w:val="single"/>
        </w:rPr>
        <w:t>Модель пациента:</w:t>
      </w:r>
      <w:r>
        <w:rPr>
          <w:color w:val="000000"/>
          <w:sz w:val="24"/>
        </w:rPr>
        <w:br/>
      </w:r>
      <w:r>
        <w:rPr>
          <w:b w:val="1"/>
          <w:color w:val="000000"/>
          <w:sz w:val="24"/>
          <w:highlight w:val="white"/>
        </w:rPr>
        <w:t>Возрастная категория:</w:t>
      </w:r>
      <w:r>
        <w:rPr>
          <w:color w:val="000000"/>
          <w:sz w:val="24"/>
          <w:highlight w:val="white"/>
        </w:rPr>
        <w:t> взрослые</w:t>
      </w:r>
      <w:r>
        <w:rPr>
          <w:color w:val="000000"/>
          <w:sz w:val="24"/>
        </w:rPr>
        <w:br/>
      </w:r>
      <w:r>
        <w:rPr>
          <w:b w:val="1"/>
          <w:color w:val="000000"/>
          <w:sz w:val="24"/>
          <w:highlight w:val="white"/>
        </w:rPr>
        <w:t>Класс болезней XI:</w:t>
      </w:r>
      <w:r>
        <w:rPr>
          <w:color w:val="000000"/>
          <w:sz w:val="24"/>
          <w:highlight w:val="white"/>
        </w:rPr>
        <w:t> болезни органов пищеварения</w:t>
      </w:r>
      <w:r>
        <w:rPr>
          <w:color w:val="000000"/>
          <w:sz w:val="24"/>
        </w:rPr>
        <w:br/>
      </w:r>
      <w:r>
        <w:rPr>
          <w:b w:val="1"/>
          <w:color w:val="000000"/>
          <w:sz w:val="24"/>
          <w:highlight w:val="white"/>
        </w:rPr>
        <w:t>Группа заболеваний:</w:t>
      </w:r>
      <w:r>
        <w:rPr>
          <w:color w:val="000000"/>
          <w:sz w:val="24"/>
          <w:highlight w:val="white"/>
        </w:rPr>
        <w:t> болезни печени, болезни желчного пузыря, желчевыводящих путей и поджелудочной железы; другие болезни органов пищеварения; болезни пищевода, желудка и двенадцатиперстной кишки; неинфекционный энтерит и колит; другие болезни кишечника; болезни брюшины</w:t>
      </w:r>
      <w:r>
        <w:rPr>
          <w:color w:val="000000"/>
          <w:sz w:val="24"/>
        </w:rPr>
        <w:br/>
      </w:r>
      <w:r>
        <w:rPr>
          <w:b w:val="1"/>
          <w:color w:val="000000"/>
          <w:sz w:val="24"/>
          <w:highlight w:val="white"/>
        </w:rPr>
        <w:t>Фаза:</w:t>
      </w:r>
      <w:r>
        <w:rPr>
          <w:color w:val="000000"/>
          <w:sz w:val="24"/>
          <w:highlight w:val="white"/>
        </w:rPr>
        <w:t> хроническая</w:t>
      </w:r>
      <w:r>
        <w:rPr>
          <w:color w:val="000000"/>
          <w:sz w:val="24"/>
        </w:rPr>
        <w:br/>
      </w:r>
      <w:r>
        <w:rPr>
          <w:b w:val="1"/>
          <w:color w:val="000000"/>
          <w:sz w:val="24"/>
          <w:highlight w:val="white"/>
        </w:rPr>
        <w:t>Стадия:</w:t>
      </w:r>
      <w:r>
        <w:rPr>
          <w:color w:val="000000"/>
          <w:sz w:val="24"/>
          <w:highlight w:val="white"/>
        </w:rPr>
        <w:t> ремиссии</w:t>
      </w:r>
      <w:r>
        <w:rPr>
          <w:color w:val="000000"/>
          <w:sz w:val="24"/>
        </w:rPr>
        <w:br/>
      </w:r>
      <w:r>
        <w:rPr>
          <w:b w:val="1"/>
          <w:color w:val="000000"/>
          <w:sz w:val="24"/>
          <w:highlight w:val="white"/>
        </w:rPr>
        <w:t>Осложнение:</w:t>
      </w:r>
      <w:r>
        <w:rPr>
          <w:color w:val="000000"/>
          <w:sz w:val="24"/>
          <w:highlight w:val="white"/>
        </w:rPr>
        <w:t> без осложнений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b w:val="1"/>
          <w:color w:val="000000"/>
          <w:sz w:val="24"/>
          <w:highlight w:val="white"/>
        </w:rPr>
        <w:t>Условия оказания:</w:t>
      </w:r>
    </w:p>
    <w:p w14:paraId="08000000">
      <w:pPr>
        <w:widowControl w:val="1"/>
        <w:numPr>
          <w:ilvl w:val="0"/>
          <w:numId w:val="1"/>
        </w:num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Санаторно</w:t>
      </w:r>
      <w:r>
        <w:rPr>
          <w:color w:val="000000"/>
          <w:sz w:val="24"/>
        </w:rPr>
        <w:t xml:space="preserve">- курортное лечение проводится стационарно в отделении медицинской реабилитации и </w:t>
      </w:r>
      <w:r>
        <w:rPr>
          <w:color w:val="000000"/>
          <w:sz w:val="24"/>
        </w:rPr>
        <w:t>санатор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-</w:t>
      </w:r>
      <w:r>
        <w:rPr>
          <w:color w:val="000000"/>
          <w:sz w:val="24"/>
        </w:rPr>
        <w:t xml:space="preserve"> курортного лечения Санатория «Русь» ФГБУ «НМИЦ онкологии» Минздрава России.</w:t>
      </w:r>
    </w:p>
    <w:p w14:paraId="09000000">
      <w:pPr>
        <w:widowControl w:val="1"/>
        <w:numPr>
          <w:ilvl w:val="0"/>
          <w:numId w:val="1"/>
        </w:num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Минимальный срок </w:t>
      </w:r>
      <w:r>
        <w:rPr>
          <w:color w:val="000000"/>
          <w:sz w:val="24"/>
        </w:rPr>
        <w:t>санаторно</w:t>
      </w:r>
      <w:r>
        <w:rPr>
          <w:color w:val="000000"/>
          <w:sz w:val="24"/>
        </w:rPr>
        <w:t xml:space="preserve"> – курортной</w:t>
      </w:r>
      <w:r>
        <w:rPr>
          <w:color w:val="000000"/>
          <w:sz w:val="24"/>
        </w:rPr>
        <w:t xml:space="preserve"> путевки – 10 дней. Максимальное продление срока </w:t>
      </w:r>
      <w:r>
        <w:rPr>
          <w:color w:val="000000"/>
          <w:sz w:val="24"/>
        </w:rPr>
        <w:t>санаторно</w:t>
      </w:r>
      <w:r>
        <w:rPr>
          <w:color w:val="000000"/>
          <w:sz w:val="24"/>
        </w:rPr>
        <w:t>- курортной</w:t>
      </w:r>
      <w:r>
        <w:rPr>
          <w:color w:val="000000"/>
          <w:sz w:val="24"/>
        </w:rPr>
        <w:t xml:space="preserve"> путевки – 30 дней.</w:t>
      </w:r>
    </w:p>
    <w:p w14:paraId="0A000000">
      <w:pPr>
        <w:widowControl w:val="1"/>
        <w:numPr>
          <w:ilvl w:val="0"/>
          <w:numId w:val="1"/>
        </w:num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Назначение объема диагностических исследований, видов лечения, количества и кратности приема процедур определяет лечащий врач с учетом диагноза, степени тяжести, стадии и фазы заболевания, наличия сопутствующих заболеваний, указанных в </w:t>
      </w:r>
      <w:r>
        <w:rPr>
          <w:color w:val="000000"/>
          <w:sz w:val="24"/>
        </w:rPr>
        <w:t>санатон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-</w:t>
      </w:r>
      <w:r>
        <w:rPr>
          <w:color w:val="000000"/>
          <w:sz w:val="24"/>
        </w:rPr>
        <w:t xml:space="preserve"> курортной карте гостя или выявленных при обследовании в санатории.</w:t>
      </w:r>
    </w:p>
    <w:p w14:paraId="0B000000">
      <w:pPr>
        <w:widowControl w:val="1"/>
        <w:numPr>
          <w:ilvl w:val="0"/>
          <w:numId w:val="1"/>
        </w:num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При поступлении в санаторий необходимо при себе иметь паспорт, страховой медицинский полис, </w:t>
      </w:r>
      <w:r>
        <w:rPr>
          <w:color w:val="000000"/>
          <w:sz w:val="24"/>
        </w:rPr>
        <w:t>санаторно</w:t>
      </w:r>
      <w:r>
        <w:rPr>
          <w:color w:val="000000"/>
          <w:sz w:val="24"/>
        </w:rPr>
        <w:t>- курортную</w:t>
      </w:r>
      <w:r>
        <w:rPr>
          <w:color w:val="000000"/>
          <w:sz w:val="24"/>
        </w:rPr>
        <w:t xml:space="preserve"> карту. При отсутствии </w:t>
      </w:r>
      <w:r>
        <w:rPr>
          <w:color w:val="000000"/>
          <w:sz w:val="24"/>
        </w:rPr>
        <w:t>санатон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-</w:t>
      </w:r>
      <w:r>
        <w:rPr>
          <w:color w:val="000000"/>
          <w:sz w:val="24"/>
        </w:rPr>
        <w:t xml:space="preserve"> курортной карты назначение лечения будет отсрочено на время, необходимое для оформления (на возмездной основе) </w:t>
      </w:r>
      <w:r>
        <w:rPr>
          <w:color w:val="000000"/>
          <w:sz w:val="24"/>
        </w:rPr>
        <w:t>санаторно</w:t>
      </w:r>
      <w:r>
        <w:rPr>
          <w:color w:val="000000"/>
          <w:sz w:val="24"/>
        </w:rPr>
        <w:t>- курортной карты в условиях санатория (2 рабочих дня).</w:t>
      </w:r>
    </w:p>
    <w:p w14:paraId="0C000000">
      <w:pPr>
        <w:widowControl w:val="1"/>
        <w:numPr>
          <w:ilvl w:val="0"/>
          <w:numId w:val="1"/>
        </w:num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Для посещения бассейна обязательным является предоставление результатов анализа кала на яйца глист, соскоба на энтеробиоз. При отсутствии указанных анализов, можно на возмездной основе сдать их в санатории.</w:t>
      </w:r>
    </w:p>
    <w:p w14:paraId="0D000000">
      <w:pPr>
        <w:widowControl w:val="1"/>
        <w:numPr>
          <w:ilvl w:val="0"/>
          <w:numId w:val="1"/>
        </w:num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Процедуры, рекомендуемые врачами – консультантами назначает лечащий врач согласно п.1 настоящих Условий оказания.</w:t>
      </w:r>
    </w:p>
    <w:p w14:paraId="0E000000">
      <w:pPr>
        <w:widowControl w:val="1"/>
        <w:numPr>
          <w:ilvl w:val="0"/>
          <w:numId w:val="1"/>
        </w:num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При выявлении противопоказаний или отказе </w:t>
      </w:r>
      <w:r>
        <w:rPr>
          <w:color w:val="000000"/>
          <w:sz w:val="24"/>
        </w:rPr>
        <w:t>гостя</w:t>
      </w:r>
      <w:r>
        <w:rPr>
          <w:color w:val="000000"/>
          <w:sz w:val="24"/>
        </w:rPr>
        <w:t xml:space="preserve"> от какой – либо медицинской манипуляции, у лечащего врача есть возможность сделать замену на другую медицинскую манипуляцию аналогичной стоимости внутри лечебного блока.</w:t>
      </w:r>
    </w:p>
    <w:p w14:paraId="0F000000">
      <w:pPr>
        <w:widowControl w:val="1"/>
        <w:numPr>
          <w:ilvl w:val="0"/>
          <w:numId w:val="1"/>
        </w:num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случае выявления абсолютных противопоказаний для </w:t>
      </w:r>
      <w:r>
        <w:rPr>
          <w:color w:val="000000"/>
          <w:sz w:val="24"/>
        </w:rPr>
        <w:t>санаторно</w:t>
      </w:r>
      <w:r>
        <w:rPr>
          <w:color w:val="000000"/>
          <w:sz w:val="24"/>
        </w:rPr>
        <w:t>- курортного</w:t>
      </w:r>
      <w:r>
        <w:rPr>
          <w:color w:val="000000"/>
          <w:sz w:val="24"/>
        </w:rPr>
        <w:t xml:space="preserve"> лечения, гостю предоставляется право выбора:</w:t>
      </w:r>
    </w:p>
    <w:p w14:paraId="10000000">
      <w:pPr>
        <w:widowControl w:val="1"/>
        <w:numPr>
          <w:ilvl w:val="1"/>
          <w:numId w:val="1"/>
        </w:num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остаться в санатории для отдыха (без назначения лечебных, диагностических и оздоровительных мероприятий) с возвратом разницы в оплате;</w:t>
      </w:r>
    </w:p>
    <w:p w14:paraId="11000000">
      <w:pPr>
        <w:widowControl w:val="1"/>
        <w:numPr>
          <w:ilvl w:val="1"/>
          <w:numId w:val="1"/>
        </w:num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заменить мероприятия лечебного блока на мероприятия</w:t>
      </w:r>
      <w:r>
        <w:rPr>
          <w:color w:val="000000"/>
          <w:sz w:val="24"/>
        </w:rPr>
        <w:t xml:space="preserve"> диагностического блока (в пределах стоимости медицинской составляющей путевки)</w:t>
      </w:r>
    </w:p>
    <w:p w14:paraId="12000000">
      <w:pPr>
        <w:widowControl w:val="1"/>
        <w:numPr>
          <w:ilvl w:val="1"/>
          <w:numId w:val="1"/>
        </w:num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аннулировать путевку (со дня выявления абсолютных противопоказаний) с возвратом денежных средств за неиспользованные дни.</w:t>
      </w:r>
    </w:p>
    <w:p w14:paraId="13000000">
      <w:pPr>
        <w:ind w:firstLine="0"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Решение о признании гостя абсолютно противопоказанным для </w:t>
      </w:r>
      <w:r>
        <w:rPr>
          <w:color w:val="000000"/>
          <w:sz w:val="24"/>
        </w:rPr>
        <w:t>санаторно</w:t>
      </w:r>
      <w:r>
        <w:rPr>
          <w:color w:val="000000"/>
          <w:sz w:val="24"/>
        </w:rPr>
        <w:t>- курортного</w:t>
      </w:r>
      <w:r>
        <w:rPr>
          <w:color w:val="000000"/>
          <w:sz w:val="24"/>
        </w:rPr>
        <w:t xml:space="preserve"> лечения принимается коллегиально на заседании Врачебной комиссии санатория (ВК).</w:t>
      </w:r>
    </w:p>
    <w:p w14:paraId="14000000">
      <w:pPr>
        <w:widowControl w:val="1"/>
        <w:numPr>
          <w:ilvl w:val="0"/>
          <w:numId w:val="1"/>
        </w:num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В случае необоснованного пропуска процедуры пациентом, пропуска процедуры по объективным обстоятельствам, но без своевременного предупреждения медработника и предварительного переноса указанной процедуры, неполучения процедуры вследствие опоздания более чем на 5 минут, пропущенные процедуры не восстанавливаются, не переносятся и возврат денежных средств за неиспользованную процедуру не производится</w:t>
      </w:r>
    </w:p>
    <w:p w14:paraId="15000000">
      <w:pPr>
        <w:pStyle w:val="Style_3"/>
        <w:spacing w:after="0" w:before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Программа санаторно-курортного лечения по путевке «БАЗОВАЯ»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(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анаторно-курортное лечение заболеваний органов пищеварения)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(коммерческая путевка)</w:t>
      </w:r>
    </w:p>
    <w:tbl>
      <w:tblPr>
        <w:tblStyle w:val="Style_4"/>
        <w:tblLayout w:type="fixed"/>
      </w:tblPr>
      <w:tblGrid>
        <w:gridCol w:w="555"/>
        <w:gridCol w:w="4869"/>
        <w:gridCol w:w="1793"/>
        <w:gridCol w:w="1695"/>
        <w:gridCol w:w="1695"/>
      </w:tblGrid>
      <w:tr>
        <w:tc>
          <w:tcPr>
            <w:tcW w:type="dxa" w:w="555"/>
            <w:vMerge w:val="restart"/>
          </w:tcPr>
          <w:p w14:paraId="16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п\</w:t>
            </w:r>
            <w:r>
              <w:rPr>
                <w:sz w:val="24"/>
              </w:rPr>
              <w:t>п</w:t>
            </w:r>
          </w:p>
        </w:tc>
        <w:tc>
          <w:tcPr>
            <w:tcW w:type="dxa" w:w="4869"/>
            <w:vMerge w:val="restart"/>
          </w:tcPr>
          <w:p w14:paraId="17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Наименование лечебно- диагностического мероприятия</w:t>
            </w:r>
          </w:p>
        </w:tc>
        <w:tc>
          <w:tcPr>
            <w:tcW w:type="dxa" w:w="5184"/>
            <w:gridSpan w:val="3"/>
          </w:tcPr>
          <w:p w14:paraId="18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Количество дней лечения/ кол-во приемов (исследований, процедур, манипуляций)</w:t>
            </w:r>
          </w:p>
        </w:tc>
      </w:tr>
      <w:tr>
        <w:tc>
          <w:tcPr>
            <w:tcW w:type="dxa" w:w="555"/>
            <w:gridSpan w:val="1"/>
            <w:vMerge w:val="continue"/>
          </w:tcPr>
          <w:p/>
        </w:tc>
        <w:tc>
          <w:tcPr>
            <w:tcW w:type="dxa" w:w="4869"/>
            <w:gridSpan w:val="1"/>
            <w:vMerge w:val="continue"/>
          </w:tcPr>
          <w:p/>
        </w:tc>
        <w:tc>
          <w:tcPr>
            <w:tcW w:type="dxa" w:w="1793"/>
          </w:tcPr>
          <w:p w14:paraId="19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На 10-13 дней</w:t>
            </w:r>
          </w:p>
        </w:tc>
        <w:tc>
          <w:tcPr>
            <w:tcW w:type="dxa" w:w="1695"/>
          </w:tcPr>
          <w:p w14:paraId="1A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На 14- 17день</w:t>
            </w:r>
          </w:p>
        </w:tc>
        <w:tc>
          <w:tcPr>
            <w:tcW w:type="dxa" w:w="1695"/>
          </w:tcPr>
          <w:p w14:paraId="1B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На 18 -21 день</w:t>
            </w:r>
          </w:p>
        </w:tc>
      </w:tr>
      <w:tr>
        <w:tc>
          <w:tcPr>
            <w:tcW w:type="dxa" w:w="10608"/>
            <w:gridSpan w:val="5"/>
          </w:tcPr>
          <w:p w14:paraId="1C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Диагностический блок.</w:t>
            </w:r>
          </w:p>
        </w:tc>
      </w:tr>
      <w:tr>
        <w:tc>
          <w:tcPr>
            <w:tcW w:type="dxa" w:w="555"/>
          </w:tcPr>
          <w:p w14:paraId="1D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869"/>
          </w:tcPr>
          <w:p w14:paraId="1E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Клинический анализ крови</w:t>
            </w:r>
          </w:p>
        </w:tc>
        <w:tc>
          <w:tcPr>
            <w:tcW w:type="dxa" w:w="1793"/>
          </w:tcPr>
          <w:p w14:paraId="1F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1исследование</w:t>
            </w:r>
          </w:p>
        </w:tc>
        <w:tc>
          <w:tcPr>
            <w:tcW w:type="dxa" w:w="1695"/>
          </w:tcPr>
          <w:p w14:paraId="20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 исследование</w:t>
            </w:r>
          </w:p>
        </w:tc>
        <w:tc>
          <w:tcPr>
            <w:tcW w:type="dxa" w:w="1695"/>
          </w:tcPr>
          <w:p w14:paraId="21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 исследование</w:t>
            </w:r>
          </w:p>
        </w:tc>
      </w:tr>
      <w:tr>
        <w:tc>
          <w:tcPr>
            <w:tcW w:type="dxa" w:w="555"/>
          </w:tcPr>
          <w:p w14:paraId="22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4869"/>
          </w:tcPr>
          <w:p w14:paraId="23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Клинический анализ мочи</w:t>
            </w:r>
          </w:p>
        </w:tc>
        <w:tc>
          <w:tcPr>
            <w:tcW w:type="dxa" w:w="1793"/>
          </w:tcPr>
          <w:p w14:paraId="24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95"/>
          </w:tcPr>
          <w:p w14:paraId="25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95"/>
          </w:tcPr>
          <w:p w14:paraId="26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c>
          <w:tcPr>
            <w:tcW w:type="dxa" w:w="555"/>
          </w:tcPr>
          <w:p w14:paraId="27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4869"/>
          </w:tcPr>
          <w:p w14:paraId="28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Глюкоза крови</w:t>
            </w:r>
          </w:p>
        </w:tc>
        <w:tc>
          <w:tcPr>
            <w:tcW w:type="dxa" w:w="1793"/>
          </w:tcPr>
          <w:p w14:paraId="29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695"/>
          </w:tcPr>
          <w:p w14:paraId="2A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95"/>
          </w:tcPr>
          <w:p w14:paraId="2B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c>
          <w:tcPr>
            <w:tcW w:type="dxa" w:w="555"/>
          </w:tcPr>
          <w:p w14:paraId="2C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4869"/>
          </w:tcPr>
          <w:p w14:paraId="2D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Электрокардиография (ЭКГ)</w:t>
            </w:r>
          </w:p>
        </w:tc>
        <w:tc>
          <w:tcPr>
            <w:tcW w:type="dxa" w:w="1793"/>
          </w:tcPr>
          <w:p w14:paraId="2E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695"/>
          </w:tcPr>
          <w:p w14:paraId="2F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695"/>
          </w:tcPr>
          <w:p w14:paraId="30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c>
          <w:tcPr>
            <w:tcW w:type="dxa" w:w="555"/>
          </w:tcPr>
          <w:p w14:paraId="31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4869"/>
          </w:tcPr>
          <w:p w14:paraId="32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Консультативный прием врача – специалиста первичный (невролог, гинеколог, диетолог, уролог, гастроэнтеролог, стоматолог, врач ЛФК)</w:t>
            </w:r>
          </w:p>
        </w:tc>
        <w:tc>
          <w:tcPr>
            <w:tcW w:type="dxa" w:w="1793"/>
          </w:tcPr>
          <w:p w14:paraId="33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 прием</w:t>
            </w:r>
          </w:p>
        </w:tc>
        <w:tc>
          <w:tcPr>
            <w:tcW w:type="dxa" w:w="1695"/>
          </w:tcPr>
          <w:p w14:paraId="34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1прием</w:t>
            </w:r>
          </w:p>
        </w:tc>
        <w:tc>
          <w:tcPr>
            <w:tcW w:type="dxa" w:w="1695"/>
          </w:tcPr>
          <w:p w14:paraId="35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2 приема</w:t>
            </w:r>
          </w:p>
        </w:tc>
      </w:tr>
      <w:tr>
        <w:tc>
          <w:tcPr>
            <w:tcW w:type="dxa" w:w="555"/>
          </w:tcPr>
          <w:p w14:paraId="36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4869"/>
          </w:tcPr>
          <w:p w14:paraId="37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Консультативный прием врача – специалиста повторный (невролог, гинеколог, диетолог, уролог, гастроэнтеролог, стоматолог, врач ЛФК)</w:t>
            </w:r>
          </w:p>
        </w:tc>
        <w:tc>
          <w:tcPr>
            <w:tcW w:type="dxa" w:w="1793"/>
          </w:tcPr>
          <w:p w14:paraId="38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695"/>
          </w:tcPr>
          <w:p w14:paraId="39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 приема</w:t>
            </w:r>
          </w:p>
        </w:tc>
        <w:tc>
          <w:tcPr>
            <w:tcW w:type="dxa" w:w="1695"/>
          </w:tcPr>
          <w:p w14:paraId="3A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2 приема</w:t>
            </w:r>
          </w:p>
        </w:tc>
      </w:tr>
      <w:tr>
        <w:tc>
          <w:tcPr>
            <w:tcW w:type="dxa" w:w="555"/>
          </w:tcPr>
          <w:p w14:paraId="3B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4869"/>
          </w:tcPr>
          <w:p w14:paraId="3C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Прием врача- терапевта первичный</w:t>
            </w:r>
          </w:p>
        </w:tc>
        <w:tc>
          <w:tcPr>
            <w:tcW w:type="dxa" w:w="1793"/>
          </w:tcPr>
          <w:p w14:paraId="3D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 прием</w:t>
            </w:r>
          </w:p>
        </w:tc>
        <w:tc>
          <w:tcPr>
            <w:tcW w:type="dxa" w:w="1695"/>
          </w:tcPr>
          <w:p w14:paraId="3E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 прием</w:t>
            </w:r>
          </w:p>
        </w:tc>
        <w:tc>
          <w:tcPr>
            <w:tcW w:type="dxa" w:w="1695"/>
          </w:tcPr>
          <w:p w14:paraId="3F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 прием</w:t>
            </w:r>
          </w:p>
        </w:tc>
      </w:tr>
      <w:tr>
        <w:tc>
          <w:tcPr>
            <w:tcW w:type="dxa" w:w="555"/>
          </w:tcPr>
          <w:p w14:paraId="40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4869"/>
          </w:tcPr>
          <w:p w14:paraId="41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Прием врача- терапевта повторный</w:t>
            </w:r>
          </w:p>
        </w:tc>
        <w:tc>
          <w:tcPr>
            <w:tcW w:type="dxa" w:w="1793"/>
          </w:tcPr>
          <w:p w14:paraId="42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2 приема</w:t>
            </w:r>
          </w:p>
        </w:tc>
        <w:tc>
          <w:tcPr>
            <w:tcW w:type="dxa" w:w="1695"/>
          </w:tcPr>
          <w:p w14:paraId="43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3 приема</w:t>
            </w:r>
          </w:p>
        </w:tc>
        <w:tc>
          <w:tcPr>
            <w:tcW w:type="dxa" w:w="1695"/>
          </w:tcPr>
          <w:p w14:paraId="44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4 приема</w:t>
            </w:r>
          </w:p>
        </w:tc>
      </w:tr>
      <w:tr>
        <w:tc>
          <w:tcPr>
            <w:tcW w:type="dxa" w:w="10608"/>
            <w:gridSpan w:val="5"/>
          </w:tcPr>
          <w:p w14:paraId="45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Лечебный блок.</w:t>
            </w:r>
          </w:p>
        </w:tc>
      </w:tr>
      <w:tr>
        <w:tc>
          <w:tcPr>
            <w:tcW w:type="dxa" w:w="555"/>
          </w:tcPr>
          <w:p w14:paraId="46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869"/>
          </w:tcPr>
          <w:p w14:paraId="47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Климатотерапия</w:t>
            </w:r>
          </w:p>
        </w:tc>
        <w:tc>
          <w:tcPr>
            <w:tcW w:type="dxa" w:w="1793"/>
          </w:tcPr>
          <w:p w14:paraId="48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type="dxa" w:w="1695"/>
          </w:tcPr>
          <w:p w14:paraId="49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type="dxa" w:w="1695"/>
          </w:tcPr>
          <w:p w14:paraId="4A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>
        <w:tc>
          <w:tcPr>
            <w:tcW w:type="dxa" w:w="555"/>
          </w:tcPr>
          <w:p w14:paraId="4B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4869"/>
          </w:tcPr>
          <w:p w14:paraId="4C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Питьевое лечение: прием минеральной воды</w:t>
            </w:r>
          </w:p>
        </w:tc>
        <w:tc>
          <w:tcPr>
            <w:tcW w:type="dxa" w:w="1793"/>
          </w:tcPr>
          <w:p w14:paraId="4D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type="dxa" w:w="1695"/>
          </w:tcPr>
          <w:p w14:paraId="4E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type="dxa" w:w="1695"/>
          </w:tcPr>
          <w:p w14:paraId="4F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>
        <w:tc>
          <w:tcPr>
            <w:tcW w:type="dxa" w:w="555"/>
          </w:tcPr>
          <w:p w14:paraId="50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4869"/>
          </w:tcPr>
          <w:p w14:paraId="51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Диетотерапия по назначению лечащего врача</w:t>
            </w:r>
          </w:p>
        </w:tc>
        <w:tc>
          <w:tcPr>
            <w:tcW w:type="dxa" w:w="1793"/>
          </w:tcPr>
          <w:p w14:paraId="52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type="dxa" w:w="1695"/>
          </w:tcPr>
          <w:p w14:paraId="53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type="dxa" w:w="1695"/>
          </w:tcPr>
          <w:p w14:paraId="54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>
        <w:tc>
          <w:tcPr>
            <w:tcW w:type="dxa" w:w="555"/>
          </w:tcPr>
          <w:p w14:paraId="55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4869"/>
          </w:tcPr>
          <w:p w14:paraId="56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 xml:space="preserve">Ванны, 1 вид: природные </w:t>
            </w:r>
            <w:r>
              <w:rPr>
                <w:sz w:val="24"/>
              </w:rPr>
              <w:t>углексисл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минеральные ванны, ванны на основе пресной воды (</w:t>
            </w:r>
            <w:r>
              <w:rPr>
                <w:sz w:val="24"/>
              </w:rPr>
              <w:t>йодо</w:t>
            </w:r>
            <w:r>
              <w:rPr>
                <w:sz w:val="24"/>
              </w:rPr>
              <w:t xml:space="preserve">- бромные, хвойные, жемчужные, ароматические, лакричные, </w:t>
            </w:r>
            <w:r>
              <w:rPr>
                <w:sz w:val="24"/>
              </w:rPr>
              <w:t>бишофитные</w:t>
            </w:r>
            <w:r>
              <w:rPr>
                <w:sz w:val="24"/>
              </w:rPr>
              <w:t>, 4-х камерные гальванические ванны)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При наличии противопоказаний к ваннам - сухие углекислые ванны</w:t>
            </w:r>
          </w:p>
        </w:tc>
        <w:tc>
          <w:tcPr>
            <w:tcW w:type="dxa" w:w="1793"/>
          </w:tcPr>
          <w:p w14:paraId="57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4 процедур</w:t>
            </w:r>
          </w:p>
        </w:tc>
        <w:tc>
          <w:tcPr>
            <w:tcW w:type="dxa" w:w="1695"/>
          </w:tcPr>
          <w:p w14:paraId="58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6 процедур</w:t>
            </w:r>
          </w:p>
        </w:tc>
        <w:tc>
          <w:tcPr>
            <w:tcW w:type="dxa" w:w="1695"/>
          </w:tcPr>
          <w:p w14:paraId="59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8 процедур</w:t>
            </w:r>
          </w:p>
        </w:tc>
      </w:tr>
      <w:tr>
        <w:tc>
          <w:tcPr>
            <w:tcW w:type="dxa" w:w="555"/>
          </w:tcPr>
          <w:p w14:paraId="5A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4869"/>
          </w:tcPr>
          <w:p w14:paraId="5B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 xml:space="preserve">Лечебные души, 1 вид: (души циркулярный, веерный, восходящий, душ </w:t>
            </w:r>
            <w:r>
              <w:rPr>
                <w:sz w:val="24"/>
              </w:rPr>
              <w:t>Шарко</w:t>
            </w:r>
            <w:r>
              <w:rPr>
                <w:sz w:val="24"/>
              </w:rPr>
              <w:t>)</w:t>
            </w:r>
          </w:p>
        </w:tc>
        <w:tc>
          <w:tcPr>
            <w:tcW w:type="dxa" w:w="1793"/>
          </w:tcPr>
          <w:p w14:paraId="5C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4 процедур</w:t>
            </w:r>
          </w:p>
        </w:tc>
        <w:tc>
          <w:tcPr>
            <w:tcW w:type="dxa" w:w="1695"/>
          </w:tcPr>
          <w:p w14:paraId="5D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6 процедур</w:t>
            </w:r>
          </w:p>
        </w:tc>
        <w:tc>
          <w:tcPr>
            <w:tcW w:type="dxa" w:w="1695"/>
          </w:tcPr>
          <w:p w14:paraId="5E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8 процедур</w:t>
            </w:r>
          </w:p>
        </w:tc>
      </w:tr>
      <w:tr>
        <w:tc>
          <w:tcPr>
            <w:tcW w:type="dxa" w:w="555"/>
          </w:tcPr>
          <w:p w14:paraId="5F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4869"/>
          </w:tcPr>
          <w:p w14:paraId="60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 xml:space="preserve">Аппликационное грязелечение (не более 4-х аппликаторов) или </w:t>
            </w:r>
            <w:r>
              <w:rPr>
                <w:sz w:val="24"/>
              </w:rPr>
              <w:t>электрогрязь</w:t>
            </w:r>
            <w:r>
              <w:rPr>
                <w:sz w:val="24"/>
              </w:rPr>
              <w:t xml:space="preserve"> при </w:t>
            </w:r>
            <w:r>
              <w:rPr>
                <w:sz w:val="24"/>
              </w:rPr>
              <w:t>заболеваниях пищевода, желудка и двенадцатиперстной кишки, кишечника</w:t>
            </w:r>
          </w:p>
        </w:tc>
        <w:tc>
          <w:tcPr>
            <w:tcW w:type="dxa" w:w="1793"/>
          </w:tcPr>
          <w:p w14:paraId="61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4 процедур</w:t>
            </w:r>
          </w:p>
        </w:tc>
        <w:tc>
          <w:tcPr>
            <w:tcW w:type="dxa" w:w="1695"/>
          </w:tcPr>
          <w:p w14:paraId="62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6 процедур</w:t>
            </w:r>
          </w:p>
        </w:tc>
        <w:tc>
          <w:tcPr>
            <w:tcW w:type="dxa" w:w="1695"/>
          </w:tcPr>
          <w:p w14:paraId="63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8 процедур</w:t>
            </w:r>
          </w:p>
        </w:tc>
      </w:tr>
      <w:tr>
        <w:tc>
          <w:tcPr>
            <w:tcW w:type="dxa" w:w="555"/>
          </w:tcPr>
          <w:p w14:paraId="64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4869"/>
          </w:tcPr>
          <w:p w14:paraId="65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 xml:space="preserve">Массаж классический (1,5 </w:t>
            </w:r>
            <w:r>
              <w:rPr>
                <w:sz w:val="24"/>
              </w:rPr>
              <w:t>у.е</w:t>
            </w:r>
            <w:r>
              <w:rPr>
                <w:sz w:val="24"/>
              </w:rPr>
              <w:t>.) или подводный душ- массаж</w:t>
            </w:r>
          </w:p>
        </w:tc>
        <w:tc>
          <w:tcPr>
            <w:tcW w:type="dxa" w:w="1793"/>
          </w:tcPr>
          <w:p w14:paraId="66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4 процедуры</w:t>
            </w:r>
          </w:p>
        </w:tc>
        <w:tc>
          <w:tcPr>
            <w:tcW w:type="dxa" w:w="1695"/>
          </w:tcPr>
          <w:p w14:paraId="67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6 процедур</w:t>
            </w:r>
          </w:p>
        </w:tc>
        <w:tc>
          <w:tcPr>
            <w:tcW w:type="dxa" w:w="1695"/>
          </w:tcPr>
          <w:p w14:paraId="68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8 процедур</w:t>
            </w:r>
          </w:p>
        </w:tc>
      </w:tr>
      <w:tr>
        <w:tc>
          <w:tcPr>
            <w:tcW w:type="dxa" w:w="555"/>
          </w:tcPr>
          <w:p w14:paraId="69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4869"/>
          </w:tcPr>
          <w:p w14:paraId="6A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Аппаратная физиотерапия (гальванизация, лекарственный электрофорез, СМ</w:t>
            </w:r>
            <w:r>
              <w:rPr>
                <w:sz w:val="24"/>
              </w:rPr>
              <w:t>Т-</w:t>
            </w:r>
            <w:r>
              <w:rPr>
                <w:sz w:val="24"/>
              </w:rPr>
              <w:t xml:space="preserve"> терапия, ДДТ- терапия, УВЧ- терапия, КВЧ- терапия, лазеротерапия, </w:t>
            </w:r>
            <w:r>
              <w:rPr>
                <w:sz w:val="24"/>
              </w:rPr>
              <w:t>магнитотерапия</w:t>
            </w:r>
            <w:r>
              <w:rPr>
                <w:sz w:val="24"/>
              </w:rPr>
              <w:t>, дарсонвализация, ИНФИТА- терапия) при заболеваниях пищевода, желудка и двенадцатиперстной кишки, кишечника (2 вида)</w:t>
            </w:r>
          </w:p>
        </w:tc>
        <w:tc>
          <w:tcPr>
            <w:tcW w:type="dxa" w:w="1793"/>
          </w:tcPr>
          <w:p w14:paraId="6B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10процедур</w:t>
            </w:r>
          </w:p>
        </w:tc>
        <w:tc>
          <w:tcPr>
            <w:tcW w:type="dxa" w:w="1695"/>
          </w:tcPr>
          <w:p w14:paraId="6C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14 процедур</w:t>
            </w:r>
          </w:p>
        </w:tc>
        <w:tc>
          <w:tcPr>
            <w:tcW w:type="dxa" w:w="1695"/>
          </w:tcPr>
          <w:p w14:paraId="6D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16 процедур</w:t>
            </w:r>
          </w:p>
        </w:tc>
      </w:tr>
      <w:tr>
        <w:tc>
          <w:tcPr>
            <w:tcW w:type="dxa" w:w="555"/>
          </w:tcPr>
          <w:p w14:paraId="6E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4869"/>
          </w:tcPr>
          <w:p w14:paraId="6F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Кислородный коктейль</w:t>
            </w:r>
          </w:p>
        </w:tc>
        <w:tc>
          <w:tcPr>
            <w:tcW w:type="dxa" w:w="1793"/>
          </w:tcPr>
          <w:p w14:paraId="70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6 процедур</w:t>
            </w:r>
          </w:p>
        </w:tc>
        <w:tc>
          <w:tcPr>
            <w:tcW w:type="dxa" w:w="1695"/>
          </w:tcPr>
          <w:p w14:paraId="71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8 процедур</w:t>
            </w:r>
          </w:p>
        </w:tc>
        <w:tc>
          <w:tcPr>
            <w:tcW w:type="dxa" w:w="1695"/>
          </w:tcPr>
          <w:p w14:paraId="72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10 процедур</w:t>
            </w:r>
          </w:p>
        </w:tc>
      </w:tr>
      <w:tr>
        <w:tc>
          <w:tcPr>
            <w:tcW w:type="dxa" w:w="555"/>
          </w:tcPr>
          <w:p w14:paraId="73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4869"/>
          </w:tcPr>
          <w:p w14:paraId="74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Неотложная медицинская помощь (по показаниям)</w:t>
            </w:r>
          </w:p>
        </w:tc>
        <w:tc>
          <w:tcPr>
            <w:tcW w:type="dxa" w:w="1793"/>
          </w:tcPr>
          <w:p w14:paraId="75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695"/>
          </w:tcPr>
          <w:p w14:paraId="76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695"/>
          </w:tcPr>
          <w:p w14:paraId="77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c>
          <w:tcPr>
            <w:tcW w:type="dxa" w:w="10608"/>
            <w:gridSpan w:val="5"/>
          </w:tcPr>
          <w:p w14:paraId="78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Оздоровительный блок.</w:t>
            </w:r>
            <w:r>
              <w:rPr>
                <w:sz w:val="24"/>
              </w:rPr>
              <w:br/>
            </w:r>
            <w:r>
              <w:rPr>
                <w:i w:val="1"/>
                <w:sz w:val="24"/>
              </w:rPr>
              <w:t>(Процедуры данного блока не подлежат замене на процедуры диагностического и лечебного блоков.</w:t>
            </w:r>
            <w:r>
              <w:rPr>
                <w:i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Их назначение не влияет на сумму денежных средств, выделенных в путевке на лечение)</w:t>
            </w:r>
          </w:p>
        </w:tc>
      </w:tr>
      <w:tr>
        <w:tc>
          <w:tcPr>
            <w:tcW w:type="dxa" w:w="555"/>
          </w:tcPr>
          <w:p w14:paraId="79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869"/>
          </w:tcPr>
          <w:p w14:paraId="7A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 xml:space="preserve">ЛФК: групповые занятия или </w:t>
            </w:r>
            <w:r>
              <w:rPr>
                <w:sz w:val="24"/>
              </w:rPr>
              <w:t>аквааэробика</w:t>
            </w:r>
          </w:p>
        </w:tc>
        <w:tc>
          <w:tcPr>
            <w:tcW w:type="dxa" w:w="1793"/>
          </w:tcPr>
          <w:p w14:paraId="7B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8 процедур</w:t>
            </w:r>
          </w:p>
        </w:tc>
        <w:tc>
          <w:tcPr>
            <w:tcW w:type="dxa" w:w="1695"/>
          </w:tcPr>
          <w:p w14:paraId="7C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12 процедур</w:t>
            </w:r>
          </w:p>
        </w:tc>
        <w:tc>
          <w:tcPr>
            <w:tcW w:type="dxa" w:w="1695"/>
          </w:tcPr>
          <w:p w14:paraId="7D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14 процедур</w:t>
            </w:r>
          </w:p>
        </w:tc>
      </w:tr>
      <w:tr>
        <w:tc>
          <w:tcPr>
            <w:tcW w:type="dxa" w:w="555"/>
          </w:tcPr>
          <w:p w14:paraId="7E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4869"/>
          </w:tcPr>
          <w:p w14:paraId="7F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Лечебное плавание</w:t>
            </w:r>
          </w:p>
        </w:tc>
        <w:tc>
          <w:tcPr>
            <w:tcW w:type="dxa" w:w="1793"/>
          </w:tcPr>
          <w:p w14:paraId="80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8 процедур</w:t>
            </w:r>
          </w:p>
        </w:tc>
        <w:tc>
          <w:tcPr>
            <w:tcW w:type="dxa" w:w="1695"/>
          </w:tcPr>
          <w:p w14:paraId="81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12 процедур</w:t>
            </w:r>
          </w:p>
        </w:tc>
        <w:tc>
          <w:tcPr>
            <w:tcW w:type="dxa" w:w="1695"/>
          </w:tcPr>
          <w:p w14:paraId="82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14 процедур</w:t>
            </w:r>
          </w:p>
        </w:tc>
      </w:tr>
      <w:tr>
        <w:tc>
          <w:tcPr>
            <w:tcW w:type="dxa" w:w="555"/>
          </w:tcPr>
          <w:p w14:paraId="83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4869"/>
          </w:tcPr>
          <w:p w14:paraId="84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Терренкур</w:t>
            </w:r>
          </w:p>
        </w:tc>
        <w:tc>
          <w:tcPr>
            <w:tcW w:type="dxa" w:w="1793"/>
          </w:tcPr>
          <w:p w14:paraId="85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8 процедур</w:t>
            </w:r>
          </w:p>
        </w:tc>
        <w:tc>
          <w:tcPr>
            <w:tcW w:type="dxa" w:w="1695"/>
          </w:tcPr>
          <w:p w14:paraId="86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12 процедур</w:t>
            </w:r>
          </w:p>
        </w:tc>
        <w:tc>
          <w:tcPr>
            <w:tcW w:type="dxa" w:w="1695"/>
          </w:tcPr>
          <w:p w14:paraId="87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14 процедур</w:t>
            </w:r>
          </w:p>
        </w:tc>
      </w:tr>
      <w:tr>
        <w:tc>
          <w:tcPr>
            <w:tcW w:type="dxa" w:w="555"/>
          </w:tcPr>
          <w:p w14:paraId="88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4869"/>
          </w:tcPr>
          <w:p w14:paraId="89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Тренажерный зал, 1 час (по согласованию с лечащим врачом)</w:t>
            </w:r>
          </w:p>
        </w:tc>
        <w:tc>
          <w:tcPr>
            <w:tcW w:type="dxa" w:w="1793"/>
          </w:tcPr>
          <w:p w14:paraId="8A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8 процедур</w:t>
            </w:r>
          </w:p>
        </w:tc>
        <w:tc>
          <w:tcPr>
            <w:tcW w:type="dxa" w:w="1695"/>
          </w:tcPr>
          <w:p w14:paraId="8B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12 процедур</w:t>
            </w:r>
          </w:p>
        </w:tc>
        <w:tc>
          <w:tcPr>
            <w:tcW w:type="dxa" w:w="1695"/>
          </w:tcPr>
          <w:p w14:paraId="8C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14 процедур</w:t>
            </w:r>
          </w:p>
        </w:tc>
      </w:tr>
      <w:tr>
        <w:tc>
          <w:tcPr>
            <w:tcW w:type="dxa" w:w="555"/>
          </w:tcPr>
          <w:p w14:paraId="8D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4869"/>
          </w:tcPr>
          <w:p w14:paraId="8E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Скандинавская ходьба</w:t>
            </w:r>
          </w:p>
        </w:tc>
        <w:tc>
          <w:tcPr>
            <w:tcW w:type="dxa" w:w="1793"/>
          </w:tcPr>
          <w:p w14:paraId="8F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8 процедур</w:t>
            </w:r>
          </w:p>
        </w:tc>
        <w:tc>
          <w:tcPr>
            <w:tcW w:type="dxa" w:w="1695"/>
          </w:tcPr>
          <w:p w14:paraId="90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12 процедур</w:t>
            </w:r>
          </w:p>
        </w:tc>
        <w:tc>
          <w:tcPr>
            <w:tcW w:type="dxa" w:w="1695"/>
          </w:tcPr>
          <w:p w14:paraId="91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14 процедур</w:t>
            </w:r>
          </w:p>
        </w:tc>
      </w:tr>
    </w:tbl>
    <w:p w14:paraId="92000000">
      <w:pPr>
        <w:pStyle w:val="Style_3"/>
        <w:spacing w:after="0" w:before="0"/>
        <w:ind/>
        <w:rPr>
          <w:rFonts w:ascii="Times New Roman" w:hAnsi="Times New Roman"/>
          <w:color w:val="000000"/>
          <w:sz w:val="24"/>
        </w:rPr>
      </w:pPr>
    </w:p>
    <w:p w14:paraId="93000000">
      <w:r>
        <w:t xml:space="preserve"> </w:t>
      </w:r>
    </w:p>
    <w:p w14:paraId="94000000">
      <w:pPr>
        <w:pStyle w:val="Style_3"/>
        <w:spacing w:after="0" w:before="0"/>
        <w:ind/>
        <w:jc w:val="center"/>
        <w:rPr>
          <w:rFonts w:ascii="Times New Roman" w:hAnsi="Times New Roman"/>
          <w:color w:val="000000"/>
          <w:sz w:val="32"/>
        </w:rPr>
      </w:pPr>
    </w:p>
    <w:p w14:paraId="95000000"/>
    <w:sectPr>
      <w:headerReference r:id="rId1" w:type="default"/>
      <w:pgSz w:h="16837" w:orient="portrait" w:w="11905"/>
      <w:pgMar w:bottom="720" w:footer="720" w:gutter="0" w:header="720" w:left="937" w:right="36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  <w:rPr>
        <w:b w:val="1"/>
        <w:color w:val="000000"/>
      </w:rPr>
    </w:pPr>
    <w:r>
      <w:rPr>
        <w:b w:val="1"/>
        <w:color w:val="000000"/>
      </w:rPr>
      <w:t>Санаторий «</w:t>
    </w:r>
    <w:r>
      <w:rPr>
        <w:b w:val="1"/>
        <w:color w:val="000000"/>
      </w:rPr>
      <w:t>Русь</w:t>
    </w:r>
    <w:r>
      <w:rPr>
        <w:b w:val="1"/>
        <w:color w:val="000000"/>
      </w:rPr>
      <w:t>»</w:t>
    </w:r>
    <w:r>
      <w:rPr>
        <w:b w:val="1"/>
        <w:color w:val="000000"/>
      </w:rPr>
      <w:t xml:space="preserve">, </w:t>
    </w:r>
    <w:r>
      <w:rPr>
        <w:b w:val="1"/>
        <w:color w:val="000000"/>
      </w:rPr>
      <w:t>г</w:t>
    </w:r>
    <w:r>
      <w:rPr>
        <w:b w:val="1"/>
        <w:color w:val="000000"/>
      </w:rPr>
      <w:t>. Железноводск</w:t>
    </w:r>
  </w:p>
  <w:p w14:paraId="02000000">
    <w:pPr>
      <w:pStyle w:val="Style_1"/>
      <w:ind/>
      <w:jc w:val="right"/>
      <w:rPr>
        <w:color w:val="000000"/>
      </w:rPr>
    </w:pPr>
    <w:r>
      <w:rPr>
        <w:color w:val="000000"/>
      </w:rPr>
      <w:t xml:space="preserve">8-800-550-34-90 - </w:t>
    </w:r>
    <w:r>
      <w:rPr>
        <w:color w:val="000000"/>
      </w:rPr>
      <w:t>звонок</w:t>
    </w:r>
    <w:r>
      <w:rPr>
        <w:color w:val="000000"/>
      </w:rPr>
      <w:t xml:space="preserve"> </w:t>
    </w:r>
    <w:r>
      <w:rPr>
        <w:color w:val="000000"/>
      </w:rPr>
      <w:t>по</w:t>
    </w:r>
    <w:r>
      <w:rPr>
        <w:color w:val="000000"/>
      </w:rPr>
      <w:t xml:space="preserve"> </w:t>
    </w:r>
    <w:r>
      <w:rPr>
        <w:color w:val="000000"/>
      </w:rPr>
      <w:t>России</w:t>
    </w:r>
    <w:r>
      <w:rPr>
        <w:color w:val="000000"/>
      </w:rPr>
      <w:t xml:space="preserve"> </w:t>
    </w:r>
    <w:r>
      <w:rPr>
        <w:color w:val="000000"/>
      </w:rPr>
      <w:t>бесплатный</w:t>
    </w:r>
  </w:p>
  <w:p w14:paraId="03000000">
    <w:pPr>
      <w:pStyle w:val="Style_1"/>
      <w:ind/>
      <w:jc w:val="right"/>
      <w:rPr>
        <w:color w:val="000000"/>
      </w:rPr>
    </w:pPr>
    <w:r>
      <w:rPr>
        <w:color w:val="000000"/>
      </w:rPr>
      <w:t>8-902-331-70-75, 8-8652-20-50-76</w:t>
    </w:r>
  </w:p>
  <w:p w14:paraId="04000000">
    <w:pPr>
      <w:pStyle w:val="Style_1"/>
      <w:ind/>
      <w:jc w:val="right"/>
    </w:pPr>
    <w:r>
      <w:rPr>
        <w:color w:val="000000"/>
      </w:rPr>
      <w:t xml:space="preserve">E-mail: </w:t>
    </w:r>
    <w:r>
      <w:rPr>
        <w:rStyle w:val="Style_2_ch"/>
      </w:rPr>
      <w:fldChar w:fldCharType="begin"/>
    </w:r>
    <w:r>
      <w:rPr>
        <w:rStyle w:val="Style_2_ch"/>
      </w:rPr>
      <w:instrText>HYPERLINK "mailto:info@kavminvods.ru"</w:instrText>
    </w:r>
    <w:r>
      <w:rPr>
        <w:rStyle w:val="Style_2_ch"/>
      </w:rPr>
      <w:fldChar w:fldCharType="separate"/>
    </w:r>
    <w:r>
      <w:rPr>
        <w:rStyle w:val="Style_2_ch"/>
      </w:rPr>
      <w:t>info@kavminvods.ru</w:t>
    </w:r>
    <w:r>
      <w:rPr>
        <w:rStyle w:val="Style_2_ch"/>
      </w:rPr>
      <w:fldChar w:fldCharType="end"/>
    </w:r>
  </w:p>
  <w:p w14:paraId="05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HTML Address"/>
    <w:basedOn w:val="Style_5"/>
    <w:link w:val="Style_7_ch"/>
    <w:pPr>
      <w:widowControl w:val="1"/>
      <w:ind/>
    </w:pPr>
    <w:rPr>
      <w:i w:val="1"/>
      <w:sz w:val="24"/>
    </w:rPr>
  </w:style>
  <w:style w:styleId="Style_7_ch" w:type="character">
    <w:name w:val="HTML Address"/>
    <w:basedOn w:val="Style_5_ch"/>
    <w:link w:val="Style_7"/>
    <w:rPr>
      <w:i w:val="1"/>
      <w:sz w:val="24"/>
    </w:rPr>
  </w:style>
  <w:style w:styleId="Style_8" w:type="paragraph">
    <w:name w:val="apple-converted-space"/>
    <w:basedOn w:val="Style_9"/>
    <w:link w:val="Style_8_ch"/>
  </w:style>
  <w:style w:styleId="Style_8_ch" w:type="character">
    <w:name w:val="apple-converted-space"/>
    <w:basedOn w:val="Style_9_ch"/>
    <w:link w:val="Style_8"/>
  </w:style>
  <w:style w:styleId="Style_10" w:type="paragraph">
    <w:name w:val="toc 4"/>
    <w:next w:val="Style_5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Указатель1"/>
    <w:basedOn w:val="Style_5"/>
    <w:link w:val="Style_11_ch"/>
    <w:rPr>
      <w:rFonts w:ascii="Arial" w:hAnsi="Arial"/>
    </w:rPr>
  </w:style>
  <w:style w:styleId="Style_11_ch" w:type="character">
    <w:name w:val="Указатель1"/>
    <w:basedOn w:val="Style_5_ch"/>
    <w:link w:val="Style_11"/>
    <w:rPr>
      <w:rFonts w:ascii="Arial" w:hAnsi="Arial"/>
    </w:rPr>
  </w:style>
  <w:style w:styleId="Style_12" w:type="paragraph">
    <w:name w:val="toc 6"/>
    <w:next w:val="Style_5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5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Absatz-Standardschriftart"/>
    <w:link w:val="Style_14_ch"/>
  </w:style>
  <w:style w:styleId="Style_14_ch" w:type="character">
    <w:name w:val="Absatz-Standardschriftart"/>
    <w:link w:val="Style_14"/>
  </w:style>
  <w:style w:styleId="Style_15" w:type="paragraph">
    <w:name w:val="Название2"/>
    <w:basedOn w:val="Style_5"/>
    <w:link w:val="Style_15_ch"/>
    <w:pPr>
      <w:spacing w:after="120" w:before="120"/>
      <w:ind/>
    </w:pPr>
    <w:rPr>
      <w:rFonts w:ascii="Arial" w:hAnsi="Arial"/>
      <w:i w:val="1"/>
    </w:rPr>
  </w:style>
  <w:style w:styleId="Style_15_ch" w:type="character">
    <w:name w:val="Название2"/>
    <w:basedOn w:val="Style_5_ch"/>
    <w:link w:val="Style_15"/>
    <w:rPr>
      <w:rFonts w:ascii="Arial" w:hAnsi="Arial"/>
      <w:i w:val="1"/>
    </w:rPr>
  </w:style>
  <w:style w:styleId="Style_16" w:type="paragraph">
    <w:name w:val="Указатель2"/>
    <w:basedOn w:val="Style_5"/>
    <w:link w:val="Style_16_ch"/>
    <w:rPr>
      <w:rFonts w:ascii="Arial" w:hAnsi="Arial"/>
    </w:rPr>
  </w:style>
  <w:style w:styleId="Style_16_ch" w:type="character">
    <w:name w:val="Указатель2"/>
    <w:basedOn w:val="Style_5_ch"/>
    <w:link w:val="Style_16"/>
    <w:rPr>
      <w:rFonts w:ascii="Arial" w:hAnsi="Arial"/>
    </w:rPr>
  </w:style>
  <w:style w:styleId="Style_3" w:type="paragraph">
    <w:name w:val="heading 3"/>
    <w:basedOn w:val="Style_5"/>
    <w:next w:val="Style_5"/>
    <w:link w:val="Style_3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3_ch" w:type="character">
    <w:name w:val="heading 3"/>
    <w:basedOn w:val="Style_5_ch"/>
    <w:link w:val="Style_3"/>
    <w:rPr>
      <w:rFonts w:ascii="Cambria" w:hAnsi="Cambria"/>
      <w:b w:val="1"/>
      <w:sz w:val="26"/>
    </w:rPr>
  </w:style>
  <w:style w:styleId="Style_17" w:type="paragraph">
    <w:name w:val="Normal (Web)"/>
    <w:basedOn w:val="Style_5"/>
    <w:link w:val="Style_17_ch"/>
    <w:pPr>
      <w:widowControl w:val="1"/>
      <w:spacing w:afterAutospacing="on" w:beforeAutospacing="on"/>
      <w:ind/>
    </w:pPr>
    <w:rPr>
      <w:sz w:val="24"/>
    </w:rPr>
  </w:style>
  <w:style w:styleId="Style_17_ch" w:type="character">
    <w:name w:val="Normal (Web)"/>
    <w:basedOn w:val="Style_5_ch"/>
    <w:link w:val="Style_17"/>
    <w:rPr>
      <w:sz w:val="24"/>
    </w:rPr>
  </w:style>
  <w:style w:styleId="Style_18" w:type="paragraph">
    <w:name w:val="Заголовок"/>
    <w:basedOn w:val="Style_5"/>
    <w:next w:val="Style_19"/>
    <w:link w:val="Style_18_ch"/>
    <w:pPr>
      <w:keepNext w:val="1"/>
      <w:spacing w:after="120" w:before="240"/>
      <w:ind/>
    </w:pPr>
    <w:rPr>
      <w:rFonts w:ascii="Arial" w:hAnsi="Arial"/>
      <w:sz w:val="28"/>
    </w:rPr>
  </w:style>
  <w:style w:styleId="Style_18_ch" w:type="character">
    <w:name w:val="Заголовок"/>
    <w:basedOn w:val="Style_5_ch"/>
    <w:link w:val="Style_18"/>
    <w:rPr>
      <w:rFonts w:ascii="Arial" w:hAnsi="Arial"/>
      <w:sz w:val="28"/>
    </w:rPr>
  </w:style>
  <w:style w:styleId="Style_20" w:type="paragraph">
    <w:name w:val="footer"/>
    <w:basedOn w:val="Style_5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footer"/>
    <w:basedOn w:val="Style_5_ch"/>
    <w:link w:val="Style_20"/>
  </w:style>
  <w:style w:styleId="Style_21" w:type="paragraph">
    <w:name w:val="WW-Absatz-Standardschriftart1"/>
    <w:link w:val="Style_21_ch"/>
  </w:style>
  <w:style w:styleId="Style_21_ch" w:type="character">
    <w:name w:val="WW-Absatz-Standardschriftart1"/>
    <w:link w:val="Style_21"/>
  </w:style>
  <w:style w:styleId="Style_22" w:type="paragraph">
    <w:name w:val="WW-Absatz-Standardschriftart"/>
    <w:link w:val="Style_22_ch"/>
  </w:style>
  <w:style w:styleId="Style_22_ch" w:type="character">
    <w:name w:val="WW-Absatz-Standardschriftart"/>
    <w:link w:val="Style_22"/>
  </w:style>
  <w:style w:styleId="Style_23" w:type="paragraph">
    <w:name w:val="Название1"/>
    <w:basedOn w:val="Style_5"/>
    <w:link w:val="Style_23_ch"/>
    <w:pPr>
      <w:spacing w:after="120" w:before="120"/>
      <w:ind/>
    </w:pPr>
    <w:rPr>
      <w:rFonts w:ascii="Arial" w:hAnsi="Arial"/>
      <w:i w:val="1"/>
    </w:rPr>
  </w:style>
  <w:style w:styleId="Style_23_ch" w:type="character">
    <w:name w:val="Название1"/>
    <w:basedOn w:val="Style_5_ch"/>
    <w:link w:val="Style_23"/>
    <w:rPr>
      <w:rFonts w:ascii="Arial" w:hAnsi="Arial"/>
      <w:i w:val="1"/>
    </w:rPr>
  </w:style>
  <w:style w:styleId="Style_24" w:type="paragraph">
    <w:name w:val="toc 3"/>
    <w:next w:val="Style_5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6" w:type="paragraph">
    <w:name w:val="Balloon Text"/>
    <w:basedOn w:val="Style_5"/>
    <w:link w:val="Style_26_ch"/>
    <w:rPr>
      <w:rFonts w:ascii="Tahoma" w:hAnsi="Tahoma"/>
      <w:sz w:val="16"/>
    </w:rPr>
  </w:style>
  <w:style w:styleId="Style_26_ch" w:type="character">
    <w:name w:val="Balloon Text"/>
    <w:basedOn w:val="Style_5_ch"/>
    <w:link w:val="Style_26"/>
    <w:rPr>
      <w:rFonts w:ascii="Tahoma" w:hAnsi="Tahoma"/>
      <w:sz w:val="16"/>
    </w:rPr>
  </w:style>
  <w:style w:styleId="Style_27" w:type="paragraph">
    <w:name w:val="WW-Absatz-Standardschriftart11"/>
    <w:link w:val="Style_27_ch"/>
  </w:style>
  <w:style w:styleId="Style_27_ch" w:type="character">
    <w:name w:val="WW-Absatz-Standardschriftart11"/>
    <w:link w:val="Style_27"/>
  </w:style>
  <w:style w:styleId="Style_28" w:type="paragraph">
    <w:name w:val="heading 5"/>
    <w:next w:val="Style_5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heading 1"/>
    <w:basedOn w:val="Style_5"/>
    <w:link w:val="Style_29_ch"/>
    <w:uiPriority w:val="9"/>
    <w:qFormat/>
    <w:pPr>
      <w:widowControl w:val="1"/>
      <w:spacing w:afterAutospacing="on" w:beforeAutospacing="on"/>
      <w:ind/>
      <w:outlineLvl w:val="0"/>
    </w:pPr>
    <w:rPr>
      <w:b w:val="1"/>
      <w:sz w:val="48"/>
    </w:rPr>
  </w:style>
  <w:style w:styleId="Style_29_ch" w:type="character">
    <w:name w:val="heading 1"/>
    <w:basedOn w:val="Style_5_ch"/>
    <w:link w:val="Style_29"/>
    <w:rPr>
      <w:b w:val="1"/>
      <w:sz w:val="48"/>
    </w:rPr>
  </w:style>
  <w:style w:styleId="Style_30" w:type="paragraph">
    <w:name w:val="Основной шрифт абзаца2"/>
    <w:link w:val="Style_30_ch"/>
  </w:style>
  <w:style w:styleId="Style_30_ch" w:type="character">
    <w:name w:val="Основной шрифт абзаца2"/>
    <w:link w:val="Style_30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2" w:type="paragraph">
    <w:name w:val="Hyperlink"/>
    <w:basedOn w:val="Style_9"/>
    <w:link w:val="Style_2_ch"/>
    <w:rPr>
      <w:color w:val="0000FF"/>
      <w:u w:val="single"/>
    </w:rPr>
  </w:style>
  <w:style w:styleId="Style_2_ch" w:type="character">
    <w:name w:val="Hyperlink"/>
    <w:basedOn w:val="Style_9_ch"/>
    <w:link w:val="Style_2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5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toc 9"/>
    <w:next w:val="Style_5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Заголовок таблицы"/>
    <w:basedOn w:val="Style_36"/>
    <w:link w:val="Style_35_ch"/>
    <w:pPr>
      <w:ind/>
      <w:jc w:val="center"/>
    </w:pPr>
    <w:rPr>
      <w:b w:val="1"/>
    </w:rPr>
  </w:style>
  <w:style w:styleId="Style_35_ch" w:type="character">
    <w:name w:val="Заголовок таблицы"/>
    <w:basedOn w:val="Style_36_ch"/>
    <w:link w:val="Style_35"/>
    <w:rPr>
      <w:b w:val="1"/>
    </w:rPr>
  </w:style>
  <w:style w:styleId="Style_36" w:type="paragraph">
    <w:name w:val="Содержимое таблицы"/>
    <w:basedOn w:val="Style_5"/>
    <w:link w:val="Style_36_ch"/>
  </w:style>
  <w:style w:styleId="Style_36_ch" w:type="character">
    <w:name w:val="Содержимое таблицы"/>
    <w:basedOn w:val="Style_5_ch"/>
    <w:link w:val="Style_36"/>
  </w:style>
  <w:style w:styleId="Style_37" w:type="paragraph">
    <w:name w:val="toc 8"/>
    <w:next w:val="Style_5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38" w:type="paragraph">
    <w:name w:val="toc 5"/>
    <w:next w:val="Style_5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19" w:type="paragraph">
    <w:name w:val="Body Text"/>
    <w:basedOn w:val="Style_5"/>
    <w:link w:val="Style_19_ch"/>
    <w:pPr>
      <w:spacing w:after="120"/>
      <w:ind/>
    </w:pPr>
  </w:style>
  <w:style w:styleId="Style_19_ch" w:type="character">
    <w:name w:val="Body Text"/>
    <w:basedOn w:val="Style_5_ch"/>
    <w:link w:val="Style_19"/>
  </w:style>
  <w:style w:styleId="Style_39" w:type="paragraph">
    <w:name w:val="Subtitle"/>
    <w:next w:val="Style_5"/>
    <w:link w:val="Style_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40" w:type="paragraph">
    <w:name w:val="Strong"/>
    <w:basedOn w:val="Style_9"/>
    <w:link w:val="Style_40_ch"/>
    <w:rPr>
      <w:b w:val="1"/>
    </w:rPr>
  </w:style>
  <w:style w:styleId="Style_40_ch" w:type="character">
    <w:name w:val="Strong"/>
    <w:basedOn w:val="Style_9_ch"/>
    <w:link w:val="Style_40"/>
    <w:rPr>
      <w:b w:val="1"/>
    </w:rPr>
  </w:style>
  <w:style w:styleId="Style_41" w:type="paragraph">
    <w:name w:val="Title"/>
    <w:next w:val="Style_5"/>
    <w:link w:val="Style_4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1_ch" w:type="character">
    <w:name w:val="Title"/>
    <w:link w:val="Style_41"/>
    <w:rPr>
      <w:rFonts w:ascii="XO Thames" w:hAnsi="XO Thames"/>
      <w:b w:val="1"/>
      <w:caps w:val="1"/>
      <w:sz w:val="40"/>
    </w:rPr>
  </w:style>
  <w:style w:styleId="Style_42" w:type="paragraph">
    <w:name w:val="heading 4"/>
    <w:basedOn w:val="Style_5"/>
    <w:next w:val="Style_5"/>
    <w:link w:val="Style_42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2_ch" w:type="character">
    <w:name w:val="heading 4"/>
    <w:basedOn w:val="Style_5_ch"/>
    <w:link w:val="Style_42"/>
    <w:rPr>
      <w:rFonts w:ascii="Calibri" w:hAnsi="Calibri"/>
      <w:b w:val="1"/>
      <w:sz w:val="28"/>
    </w:rPr>
  </w:style>
  <w:style w:styleId="Style_43" w:type="paragraph">
    <w:name w:val="Emphasis"/>
    <w:basedOn w:val="Style_9"/>
    <w:link w:val="Style_43_ch"/>
    <w:rPr>
      <w:i w:val="1"/>
    </w:rPr>
  </w:style>
  <w:style w:styleId="Style_43_ch" w:type="character">
    <w:name w:val="Emphasis"/>
    <w:basedOn w:val="Style_9_ch"/>
    <w:link w:val="Style_43"/>
    <w:rPr>
      <w:i w:val="1"/>
    </w:rPr>
  </w:style>
  <w:style w:styleId="Style_44" w:type="paragraph">
    <w:name w:val="heading 2"/>
    <w:basedOn w:val="Style_5"/>
    <w:next w:val="Style_5"/>
    <w:link w:val="Style_44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44_ch" w:type="character">
    <w:name w:val="heading 2"/>
    <w:basedOn w:val="Style_5_ch"/>
    <w:link w:val="Style_44"/>
    <w:rPr>
      <w:rFonts w:ascii="Cambria" w:hAnsi="Cambria"/>
      <w:b w:val="1"/>
      <w:i w:val="1"/>
      <w:sz w:val="28"/>
    </w:rPr>
  </w:style>
  <w:style w:styleId="Style_45" w:type="paragraph">
    <w:name w:val="List"/>
    <w:basedOn w:val="Style_19"/>
    <w:link w:val="Style_45_ch"/>
    <w:rPr>
      <w:rFonts w:ascii="Arial" w:hAnsi="Arial"/>
    </w:rPr>
  </w:style>
  <w:style w:styleId="Style_45_ch" w:type="character">
    <w:name w:val="List"/>
    <w:basedOn w:val="Style_19_ch"/>
    <w:link w:val="Style_45"/>
    <w:rPr>
      <w:rFonts w:ascii="Arial" w:hAnsi="Arial"/>
    </w:rPr>
  </w:style>
  <w:style w:styleId="Style_4" w:type="table">
    <w:name w:val="Table Grid"/>
    <w:basedOn w:val="Style_46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2023-10-31T06:50:08Z</dcterms:modified>
</cp:coreProperties>
</file>